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EF7B" w14:textId="77777777" w:rsidR="0051461F" w:rsidRPr="00D52CAC" w:rsidRDefault="0051461F" w:rsidP="0051461F">
      <w:pPr>
        <w:spacing w:line="20" w:lineRule="atLeast"/>
        <w:jc w:val="left"/>
        <w:rPr>
          <w:rFonts w:ascii="ＭＳ ゴシック" w:eastAsia="ＭＳ ゴシック" w:hAnsi="ＭＳ ゴシック"/>
        </w:rPr>
      </w:pPr>
      <w:r w:rsidRPr="00D52CAC">
        <w:rPr>
          <w:rFonts w:ascii="ＭＳ ゴシック" w:eastAsia="ＭＳ ゴシック" w:hAnsi="ＭＳ ゴシック" w:hint="eastAsia"/>
          <w:b/>
          <w:spacing w:val="50"/>
          <w:sz w:val="36"/>
          <w:u w:val="single"/>
        </w:rPr>
        <w:t>（３）パターン＜２Ａ＞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0570B758" w:rsidR="006B311B" w:rsidRPr="004B2D58" w:rsidRDefault="006B311B" w:rsidP="00C43375">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78F2F50"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4D1569" w:rsidRPr="004D1569">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4F203A5D" w14:textId="77777777" w:rsidR="0067171A" w:rsidRPr="00AC0131" w:rsidRDefault="0067171A" w:rsidP="0067171A">
            <w:pPr>
              <w:pStyle w:val="a3"/>
              <w:jc w:val="left"/>
              <w:rPr>
                <w:rFonts w:eastAsia="ＭＳ ゴシック"/>
                <w:b/>
                <w:kern w:val="2"/>
                <w:szCs w:val="22"/>
              </w:rPr>
            </w:pPr>
            <w:r w:rsidRPr="00AC0131">
              <w:rPr>
                <w:rFonts w:eastAsia="ＭＳ ゴシック" w:hint="eastAsia"/>
                <w:b/>
                <w:kern w:val="2"/>
                <w:szCs w:val="22"/>
              </w:rPr>
              <w:t>（輸出管理統括責任者）</w:t>
            </w:r>
          </w:p>
          <w:p w14:paraId="226BD675" w14:textId="77777777" w:rsidR="0067171A" w:rsidRPr="00AC0131" w:rsidRDefault="0067171A" w:rsidP="0067171A">
            <w:pPr>
              <w:pStyle w:val="a3"/>
              <w:jc w:val="left"/>
              <w:rPr>
                <w:rFonts w:eastAsia="ＭＳ ゴシック"/>
                <w:kern w:val="2"/>
                <w:szCs w:val="22"/>
              </w:rPr>
            </w:pPr>
            <w:r w:rsidRPr="00AC0131">
              <w:rPr>
                <w:rFonts w:eastAsia="ＭＳ ゴシック" w:hint="eastAsia"/>
                <w:b/>
                <w:kern w:val="2"/>
                <w:szCs w:val="22"/>
              </w:rPr>
              <w:t>第６条</w:t>
            </w:r>
            <w:r w:rsidRPr="00AC0131">
              <w:rPr>
                <w:rFonts w:eastAsia="ＭＳ ゴシック" w:hint="eastAsia"/>
                <w:kern w:val="2"/>
                <w:szCs w:val="22"/>
              </w:rPr>
              <w:t xml:space="preserve">　最高責任者は輸出管理業務を統括する輸出管理統括責任者を任命する。</w:t>
            </w:r>
          </w:p>
          <w:p w14:paraId="1E0F03B9" w14:textId="77777777" w:rsidR="0067171A" w:rsidRPr="00AC0131" w:rsidRDefault="0067171A" w:rsidP="0067171A">
            <w:pPr>
              <w:pStyle w:val="a3"/>
              <w:jc w:val="left"/>
              <w:rPr>
                <w:rFonts w:eastAsia="ＭＳ ゴシック"/>
                <w:kern w:val="2"/>
                <w:szCs w:val="22"/>
              </w:rPr>
            </w:pPr>
          </w:p>
          <w:p w14:paraId="410E930B" w14:textId="77777777" w:rsidR="0067171A" w:rsidRPr="00AC0131" w:rsidRDefault="0067171A" w:rsidP="0067171A">
            <w:pPr>
              <w:pStyle w:val="a3"/>
              <w:jc w:val="left"/>
              <w:rPr>
                <w:rFonts w:eastAsia="ＭＳ ゴシック"/>
                <w:kern w:val="2"/>
                <w:szCs w:val="22"/>
              </w:rPr>
            </w:pPr>
            <w:r w:rsidRPr="00AC0131">
              <w:rPr>
                <w:rFonts w:eastAsia="ＭＳ ゴシック" w:hint="eastAsia"/>
                <w:kern w:val="2"/>
                <w:szCs w:val="22"/>
              </w:rPr>
              <w:t>２　輸出管理統括責任者は、以下の業務を行う。</w:t>
            </w:r>
          </w:p>
          <w:p w14:paraId="672BE7BB" w14:textId="77777777" w:rsidR="0067171A" w:rsidRPr="00AC0131" w:rsidRDefault="0067171A" w:rsidP="0067171A">
            <w:pPr>
              <w:pStyle w:val="a3"/>
              <w:jc w:val="left"/>
              <w:rPr>
                <w:rFonts w:eastAsia="ＭＳ ゴシック"/>
                <w:kern w:val="2"/>
                <w:szCs w:val="22"/>
              </w:rPr>
            </w:pPr>
          </w:p>
          <w:p w14:paraId="1A65EFDD"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一　安全保障輸出管理規程の制定、改廃</w:t>
            </w:r>
          </w:p>
          <w:p w14:paraId="53AFBF96"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二　運用手続（細則）の制定、改廃</w:t>
            </w:r>
          </w:p>
          <w:p w14:paraId="1855B037"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三　取引の審査、承認</w:t>
            </w:r>
          </w:p>
          <w:p w14:paraId="2A55F5D7"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lastRenderedPageBreak/>
              <w:t>四　全社管理業務の統括及び全社徹底事項の指示、連絡、要請等</w:t>
            </w:r>
          </w:p>
          <w:p w14:paraId="3EC4F400"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五　監査</w:t>
            </w:r>
          </w:p>
          <w:p w14:paraId="24D17500"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六　教育</w:t>
            </w:r>
          </w:p>
          <w:p w14:paraId="1282420A"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七　子会社及び関連会社の指導等</w:t>
            </w:r>
          </w:p>
          <w:p w14:paraId="2D655BBA" w14:textId="2A2C4696" w:rsidR="00D70E6D" w:rsidRPr="004B2D58" w:rsidRDefault="0067171A" w:rsidP="0067171A">
            <w:pPr>
              <w:spacing w:line="20" w:lineRule="atLeast"/>
              <w:ind w:firstLine="240"/>
              <w:jc w:val="left"/>
              <w:rPr>
                <w:rFonts w:ascii="ＭＳ ゴシック" w:eastAsia="ＭＳ ゴシック" w:hAnsi="ＭＳ ゴシック"/>
              </w:rPr>
            </w:pPr>
            <w:r w:rsidRPr="00AC0131">
              <w:rPr>
                <w:rFonts w:eastAsia="ＭＳ ゴシック" w:hint="eastAsia"/>
                <w:kern w:val="2"/>
                <w:szCs w:val="22"/>
              </w:rPr>
              <w:t>八　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53CC3A42" w14:textId="77777777" w:rsidR="0067171A" w:rsidRPr="00A140C8" w:rsidRDefault="0067171A" w:rsidP="0067171A">
            <w:pPr>
              <w:jc w:val="left"/>
              <w:rPr>
                <w:rFonts w:eastAsia="ＭＳ ゴシック"/>
                <w:b/>
                <w:kern w:val="2"/>
                <w:szCs w:val="22"/>
              </w:rPr>
            </w:pPr>
            <w:r w:rsidRPr="00A140C8">
              <w:rPr>
                <w:rFonts w:eastAsia="ＭＳ ゴシック" w:hint="eastAsia"/>
                <w:b/>
                <w:kern w:val="2"/>
                <w:szCs w:val="22"/>
              </w:rPr>
              <w:t>（事業部門管理体制）</w:t>
            </w:r>
          </w:p>
          <w:p w14:paraId="5CE3CFE4" w14:textId="77777777" w:rsidR="0067171A" w:rsidRPr="00A140C8" w:rsidRDefault="0067171A" w:rsidP="0067171A">
            <w:pPr>
              <w:ind w:left="241" w:hangingChars="100" w:hanging="241"/>
              <w:jc w:val="left"/>
              <w:rPr>
                <w:rFonts w:eastAsia="ＭＳ ゴシック"/>
                <w:kern w:val="2"/>
                <w:szCs w:val="22"/>
              </w:rPr>
            </w:pPr>
            <w:r w:rsidRPr="00A140C8">
              <w:rPr>
                <w:rFonts w:eastAsia="ＭＳ ゴシック" w:hint="eastAsia"/>
                <w:b/>
                <w:kern w:val="2"/>
                <w:szCs w:val="22"/>
              </w:rPr>
              <w:t xml:space="preserve">第７条　</w:t>
            </w:r>
            <w:r w:rsidRPr="00A140C8">
              <w:rPr>
                <w:rFonts w:eastAsia="ＭＳ ゴシック" w:hint="eastAsia"/>
                <w:kern w:val="2"/>
                <w:szCs w:val="22"/>
              </w:rPr>
              <w:t>本規程の遵守及び輸出管理業務を適切に実施するため、必要に応じ、輸出管理統括責任者が定める事業部門に輸出管理責任者を置く。</w:t>
            </w:r>
          </w:p>
          <w:p w14:paraId="2AAB3678" w14:textId="77777777" w:rsidR="0067171A" w:rsidRPr="00A140C8" w:rsidRDefault="0067171A" w:rsidP="0067171A">
            <w:pPr>
              <w:spacing w:line="20" w:lineRule="atLeast"/>
              <w:jc w:val="left"/>
              <w:rPr>
                <w:rFonts w:ascii="ＭＳ ゴシック" w:eastAsia="ＭＳ ゴシック" w:hAnsi="ＭＳ ゴシック"/>
                <w:kern w:val="2"/>
                <w:szCs w:val="22"/>
              </w:rPr>
            </w:pPr>
          </w:p>
          <w:p w14:paraId="05556EDE" w14:textId="77777777" w:rsidR="0067171A" w:rsidRPr="00A140C8" w:rsidRDefault="0067171A" w:rsidP="0067171A">
            <w:pPr>
              <w:spacing w:line="20" w:lineRule="atLeast"/>
              <w:ind w:left="240" w:hangingChars="100" w:hanging="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２　事業部門輸出管理責任者は、輸出管理統括責任者の指示の下に、当該事業部門内の輸出管理に関する以下の業務を行う。</w:t>
            </w:r>
          </w:p>
          <w:p w14:paraId="398AE2E3" w14:textId="77777777" w:rsidR="0067171A" w:rsidRPr="00A140C8" w:rsidRDefault="0067171A" w:rsidP="0067171A">
            <w:pPr>
              <w:spacing w:line="20" w:lineRule="atLeast"/>
              <w:jc w:val="left"/>
              <w:rPr>
                <w:rFonts w:ascii="ＭＳ ゴシック" w:eastAsia="ＭＳ ゴシック" w:hAnsi="ＭＳ ゴシック"/>
                <w:kern w:val="2"/>
                <w:szCs w:val="22"/>
              </w:rPr>
            </w:pPr>
          </w:p>
          <w:p w14:paraId="202EE6B3" w14:textId="77777777" w:rsidR="0067171A" w:rsidRPr="00A140C8" w:rsidRDefault="0067171A" w:rsidP="0067171A">
            <w:pPr>
              <w:spacing w:line="20" w:lineRule="atLeast"/>
              <w:ind w:firstLine="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一　輸出管理統括責任者の指示、連絡、要請等の周知徹底</w:t>
            </w:r>
          </w:p>
          <w:p w14:paraId="42551866" w14:textId="77777777" w:rsidR="0067171A" w:rsidRDefault="0067171A" w:rsidP="0067171A">
            <w:pPr>
              <w:spacing w:line="20" w:lineRule="atLeast"/>
              <w:ind w:firstLine="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二　輸出管理手続業務の推進</w:t>
            </w:r>
          </w:p>
          <w:p w14:paraId="45ED920C" w14:textId="5595E3CF" w:rsidR="00B8269E" w:rsidRPr="004B2D58" w:rsidRDefault="0067171A" w:rsidP="0067171A">
            <w:pPr>
              <w:spacing w:line="20" w:lineRule="atLeast"/>
              <w:ind w:firstLine="240"/>
              <w:jc w:val="left"/>
              <w:rPr>
                <w:rFonts w:eastAsia="ＭＳ ゴシック"/>
                <w:kern w:val="2"/>
                <w:szCs w:val="22"/>
              </w:rPr>
            </w:pPr>
            <w:r w:rsidRPr="00A140C8">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0BC88F6B" w14:textId="77777777" w:rsidR="00904D50" w:rsidRPr="005C0169" w:rsidRDefault="00904D50" w:rsidP="00904D50">
            <w:pPr>
              <w:ind w:left="241" w:hangingChars="100" w:hanging="241"/>
              <w:jc w:val="left"/>
              <w:rPr>
                <w:rFonts w:ascii="ＭＳ ゴシック" w:eastAsia="ＭＳ ゴシック" w:hAnsi="ＭＳ ゴシック"/>
                <w:kern w:val="2"/>
                <w:szCs w:val="22"/>
              </w:rPr>
            </w:pPr>
            <w:r w:rsidRPr="005C0169">
              <w:rPr>
                <w:rFonts w:eastAsia="ＭＳ ゴシック" w:hint="eastAsia"/>
                <w:b/>
                <w:kern w:val="2"/>
                <w:szCs w:val="22"/>
              </w:rPr>
              <w:t xml:space="preserve">第８条　</w:t>
            </w:r>
            <w:r w:rsidRPr="005C0169">
              <w:rPr>
                <w:rFonts w:ascii="ＭＳ ゴシック" w:eastAsia="ＭＳ ゴシック" w:hAnsi="ＭＳ ゴシック" w:hint="eastAsia"/>
                <w:kern w:val="2"/>
                <w:szCs w:val="22"/>
              </w:rPr>
              <w:t>輸出等を行う場合には、リスト規制貨物等に該当するか否かについて判定を行う。</w:t>
            </w:r>
          </w:p>
          <w:p w14:paraId="2832BCD6" w14:textId="77777777" w:rsidR="00904D50" w:rsidRPr="005C0169" w:rsidRDefault="00904D50" w:rsidP="00904D50">
            <w:pPr>
              <w:jc w:val="left"/>
              <w:rPr>
                <w:rFonts w:eastAsia="ＭＳ ゴシック"/>
                <w:kern w:val="2"/>
                <w:szCs w:val="22"/>
              </w:rPr>
            </w:pPr>
          </w:p>
          <w:p w14:paraId="3D8323BA" w14:textId="77777777" w:rsidR="00904D50" w:rsidRPr="005C0169" w:rsidRDefault="00904D50" w:rsidP="00904D50">
            <w:pPr>
              <w:ind w:left="240" w:hangingChars="100" w:hanging="240"/>
              <w:jc w:val="left"/>
              <w:rPr>
                <w:rFonts w:eastAsia="ＭＳ ゴシック"/>
                <w:kern w:val="2"/>
                <w:szCs w:val="22"/>
              </w:rPr>
            </w:pPr>
            <w:r w:rsidRPr="005C0169">
              <w:rPr>
                <w:rFonts w:eastAsia="ＭＳ ゴシック" w:hint="eastAsia"/>
                <w:kern w:val="2"/>
                <w:szCs w:val="22"/>
              </w:rPr>
              <w:t>２　輸出管理統括責任者は、該非判定を行う部署及び判定内容を審査し最終決定を行う部署を定める。</w:t>
            </w:r>
          </w:p>
          <w:p w14:paraId="6AFE6312" w14:textId="77777777" w:rsidR="00904D50" w:rsidRPr="005C0169" w:rsidRDefault="00904D50" w:rsidP="00904D50">
            <w:pPr>
              <w:jc w:val="left"/>
              <w:rPr>
                <w:rFonts w:eastAsia="ＭＳ ゴシック"/>
                <w:kern w:val="2"/>
                <w:szCs w:val="22"/>
              </w:rPr>
            </w:pPr>
          </w:p>
          <w:p w14:paraId="3C2B94D6" w14:textId="77777777" w:rsidR="00904D50" w:rsidRPr="005C0169" w:rsidRDefault="00904D50" w:rsidP="00904D50">
            <w:pPr>
              <w:jc w:val="left"/>
              <w:rPr>
                <w:rFonts w:eastAsia="ＭＳ ゴシック"/>
                <w:kern w:val="2"/>
                <w:szCs w:val="22"/>
              </w:rPr>
            </w:pPr>
            <w:r w:rsidRPr="005C0169">
              <w:rPr>
                <w:rFonts w:eastAsia="ＭＳ ゴシック" w:hint="eastAsia"/>
                <w:kern w:val="2"/>
                <w:szCs w:val="22"/>
              </w:rPr>
              <w:t>３　該非判定は、以下のとおり行う。</w:t>
            </w:r>
          </w:p>
          <w:p w14:paraId="6EF9B3C6" w14:textId="77777777" w:rsidR="00904D50" w:rsidRPr="005C0169" w:rsidRDefault="00904D50" w:rsidP="00904D50">
            <w:pPr>
              <w:jc w:val="left"/>
              <w:rPr>
                <w:rFonts w:eastAsia="ＭＳ ゴシック"/>
                <w:kern w:val="2"/>
                <w:szCs w:val="22"/>
              </w:rPr>
            </w:pPr>
          </w:p>
          <w:p w14:paraId="7C72B18E" w14:textId="77777777" w:rsidR="00904D50" w:rsidRPr="005C0169" w:rsidRDefault="00904D50" w:rsidP="00904D50">
            <w:pPr>
              <w:ind w:leftChars="100" w:left="480" w:hangingChars="100" w:hanging="240"/>
              <w:jc w:val="left"/>
              <w:rPr>
                <w:rFonts w:eastAsia="ＭＳ ゴシック"/>
                <w:kern w:val="2"/>
                <w:szCs w:val="22"/>
              </w:rPr>
            </w:pPr>
            <w:r w:rsidRPr="005C0169">
              <w:rPr>
                <w:rFonts w:eastAsia="ＭＳ ゴシック" w:hint="eastAsia"/>
                <w:kern w:val="2"/>
                <w:szCs w:val="22"/>
              </w:rPr>
              <w:t>一　当社で設計・開発した貨物等の輸出等を行う場合</w:t>
            </w:r>
            <w:r w:rsidRPr="005C0169">
              <w:rPr>
                <w:rFonts w:eastAsia="ＭＳ ゴシック" w:hint="eastAsia"/>
                <w:color w:val="0000FF"/>
                <w:kern w:val="2"/>
                <w:szCs w:val="22"/>
              </w:rPr>
              <w:t>、</w:t>
            </w:r>
            <w:r w:rsidRPr="005C0169">
              <w:rPr>
                <w:rFonts w:eastAsia="ＭＳ ゴシック" w:hint="eastAsia"/>
                <w:color w:val="FF0000"/>
                <w:kern w:val="2"/>
                <w:szCs w:val="22"/>
              </w:rPr>
              <w:t>［該非判定部門の名称を記入］</w:t>
            </w:r>
            <w:r w:rsidRPr="005C0169">
              <w:rPr>
                <w:rFonts w:eastAsia="ＭＳ ゴシック" w:hint="eastAsia"/>
                <w:kern w:val="2"/>
                <w:szCs w:val="22"/>
              </w:rPr>
              <w:t>は、必要な技術資料を整備し、最新の外為法等に基づいてリスト規制貨物等に該当するか否かを判定する。</w:t>
            </w:r>
          </w:p>
          <w:p w14:paraId="571293E3" w14:textId="77777777" w:rsidR="00904D50" w:rsidRPr="005C0169" w:rsidRDefault="00904D50" w:rsidP="00904D50">
            <w:pPr>
              <w:jc w:val="left"/>
              <w:rPr>
                <w:rFonts w:eastAsia="ＭＳ ゴシック"/>
                <w:kern w:val="2"/>
                <w:szCs w:val="22"/>
              </w:rPr>
            </w:pPr>
          </w:p>
          <w:p w14:paraId="7EC05CAE" w14:textId="77777777" w:rsidR="00904D50" w:rsidRPr="005C0169" w:rsidRDefault="00904D50" w:rsidP="00904D50">
            <w:pPr>
              <w:ind w:leftChars="100" w:left="480" w:hangingChars="100" w:hanging="240"/>
              <w:jc w:val="left"/>
              <w:rPr>
                <w:rFonts w:eastAsia="ＭＳ ゴシック"/>
                <w:kern w:val="2"/>
                <w:szCs w:val="22"/>
              </w:rPr>
            </w:pPr>
            <w:r w:rsidRPr="005C0169">
              <w:rPr>
                <w:rFonts w:eastAsia="ＭＳ ゴシック" w:hint="eastAsia"/>
                <w:kern w:val="2"/>
                <w:szCs w:val="22"/>
              </w:rPr>
              <w:t>二　社外から調達した貨物等の輸出等を行う場合、</w:t>
            </w:r>
            <w:r w:rsidRPr="005C0169">
              <w:rPr>
                <w:rFonts w:eastAsia="ＭＳ ゴシック" w:hint="eastAsia"/>
                <w:color w:val="FF0000"/>
                <w:kern w:val="2"/>
                <w:szCs w:val="22"/>
              </w:rPr>
              <w:t>［該非判定部門の名称を記入］</w:t>
            </w:r>
            <w:r w:rsidRPr="005C0169">
              <w:rPr>
                <w:rFonts w:eastAsia="ＭＳ ゴシック" w:hint="eastAsia"/>
                <w:kern w:val="2"/>
                <w:szCs w:val="22"/>
              </w:rPr>
              <w:t>は、調達先からの該非判定書等の入手等により、本項の</w:t>
            </w:r>
            <w:r w:rsidRPr="005C0169">
              <w:rPr>
                <w:rFonts w:ascii="ＭＳ ゴシック" w:eastAsia="ＭＳ ゴシック" w:hAnsi="ＭＳ ゴシック" w:hint="eastAsia"/>
                <w:kern w:val="2"/>
                <w:szCs w:val="22"/>
              </w:rPr>
              <w:t>第一号</w:t>
            </w:r>
            <w:r w:rsidRPr="005C0169">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34B06AA9" w14:textId="77777777" w:rsidR="00904D50" w:rsidRPr="005C0169" w:rsidRDefault="00904D50" w:rsidP="00904D50">
            <w:pPr>
              <w:jc w:val="left"/>
              <w:rPr>
                <w:rFonts w:eastAsia="ＭＳ ゴシック"/>
                <w:kern w:val="2"/>
                <w:szCs w:val="22"/>
              </w:rPr>
            </w:pPr>
          </w:p>
          <w:p w14:paraId="3211F226" w14:textId="6EF89B26" w:rsidR="005E7BDE" w:rsidRPr="004B2D58" w:rsidRDefault="00904D50" w:rsidP="00904D50">
            <w:pPr>
              <w:ind w:leftChars="100" w:left="720" w:hangingChars="200" w:hanging="480"/>
              <w:jc w:val="left"/>
              <w:rPr>
                <w:rFonts w:eastAsia="ＭＳ ゴシック"/>
                <w:kern w:val="2"/>
                <w:szCs w:val="22"/>
              </w:rPr>
            </w:pPr>
            <w:r w:rsidRPr="005C0169">
              <w:rPr>
                <w:rFonts w:eastAsia="ＭＳ ゴシック" w:hint="eastAsia"/>
                <w:kern w:val="2"/>
                <w:szCs w:val="22"/>
              </w:rPr>
              <w:t>三　本項の</w:t>
            </w:r>
            <w:r w:rsidRPr="005C0169">
              <w:rPr>
                <w:rFonts w:ascii="ＭＳ ゴシック" w:eastAsia="ＭＳ ゴシック" w:hAnsi="ＭＳ ゴシック" w:hint="eastAsia"/>
                <w:kern w:val="2"/>
                <w:szCs w:val="22"/>
              </w:rPr>
              <w:t>第一号、第二号</w:t>
            </w:r>
            <w:r w:rsidRPr="005C0169">
              <w:rPr>
                <w:rFonts w:eastAsia="ＭＳ ゴシック" w:hint="eastAsia"/>
                <w:kern w:val="2"/>
                <w:szCs w:val="22"/>
              </w:rPr>
              <w:t>のいずれの場合においても、</w:t>
            </w:r>
            <w:r w:rsidRPr="005C0169">
              <w:rPr>
                <w:rFonts w:eastAsia="ＭＳ ゴシック" w:hint="eastAsia"/>
                <w:color w:val="FF0000"/>
                <w:kern w:val="2"/>
                <w:szCs w:val="22"/>
              </w:rPr>
              <w:t>［該非判定審査部門の名称を記</w:t>
            </w:r>
            <w:r w:rsidRPr="005C0169">
              <w:rPr>
                <w:rFonts w:eastAsia="ＭＳ ゴシック" w:hint="eastAsia"/>
                <w:color w:val="FF0000"/>
                <w:kern w:val="2"/>
                <w:szCs w:val="22"/>
              </w:rPr>
              <w:lastRenderedPageBreak/>
              <w:t>入］</w:t>
            </w:r>
            <w:r w:rsidRPr="005C0169">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2FDE4E02"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4D1569" w:rsidRPr="004D1569">
              <w:rPr>
                <w:rFonts w:ascii="ＭＳ ゴシック" w:eastAsia="ＭＳ ゴシック" w:hAnsi="ＭＳ ゴシック" w:hint="eastAsia"/>
              </w:rPr>
              <w:t>営業部門等は、輸出等の引合を受けた場合には、その行おうとする輸出等の需要者等について、以下の第一号から第三号のいずれかの項目に該当するか否かを確認する。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3E7F870E"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lastRenderedPageBreak/>
              <w:t>して、</w:t>
            </w:r>
            <w:r w:rsidR="00904D50" w:rsidRPr="00904D50">
              <w:rPr>
                <w:rFonts w:eastAsia="ＭＳ ゴシック" w:hint="eastAsia"/>
              </w:rPr>
              <w:t>輸出管理統括責任者</w:t>
            </w:r>
            <w:r w:rsidRPr="004B2D58">
              <w:rPr>
                <w:rFonts w:eastAsia="ＭＳ ゴシック" w:hint="eastAsia"/>
              </w:rPr>
              <w:t>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2483230A"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F953B6" w:rsidRPr="00F953B6">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69872958"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w:t>
            </w:r>
            <w:r w:rsidR="00904D50" w:rsidRPr="00904D50">
              <w:rPr>
                <w:rFonts w:eastAsia="ＭＳ ゴシック" w:hint="eastAsia"/>
              </w:rPr>
              <w:t>輸出管理統括責任者</w:t>
            </w:r>
            <w:r w:rsidRPr="004B2D58">
              <w:rPr>
                <w:rFonts w:eastAsia="ＭＳ ゴシック" w:hint="eastAsia"/>
              </w:rPr>
              <w:t>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32994D91" w14:textId="77777777" w:rsidR="00904D50" w:rsidRPr="00174FA1" w:rsidRDefault="00904D50" w:rsidP="00904D50">
            <w:pPr>
              <w:pStyle w:val="a3"/>
              <w:tabs>
                <w:tab w:val="clear" w:pos="4252"/>
                <w:tab w:val="clear" w:pos="8504"/>
              </w:tabs>
              <w:ind w:left="241" w:hangingChars="100" w:hanging="241"/>
              <w:jc w:val="left"/>
              <w:rPr>
                <w:rFonts w:ascii="ＭＳ ゴシック" w:eastAsia="ＭＳ ゴシック" w:hAnsi="ＭＳ ゴシック"/>
              </w:rPr>
            </w:pPr>
            <w:r w:rsidRPr="00174FA1">
              <w:rPr>
                <w:rFonts w:eastAsia="ＭＳ ゴシック" w:hint="eastAsia"/>
                <w:b/>
              </w:rPr>
              <w:t xml:space="preserve">第１３条　</w:t>
            </w:r>
            <w:r w:rsidRPr="00174FA1">
              <w:rPr>
                <w:rFonts w:ascii="ＭＳ ゴシック" w:eastAsia="ＭＳ ゴシック" w:hAnsi="ＭＳ ゴシック" w:hint="eastAsia"/>
                <w:color w:val="FF0000"/>
              </w:rPr>
              <w:t>［出荷を担当する部門の名称を記入］</w:t>
            </w:r>
            <w:r w:rsidRPr="00174FA1">
              <w:rPr>
                <w:rFonts w:ascii="ＭＳ ゴシック" w:eastAsia="ＭＳ ゴシック" w:hAnsi="ＭＳ ゴシック" w:hint="eastAsia"/>
              </w:rPr>
              <w:t>は、第８条（該非判定）及び第１１条（取引審査）の手続が行われたこと並びに出荷される貨物が出荷書類の記載内容と同一のものであることを確認する。また、</w:t>
            </w:r>
            <w:r w:rsidRPr="00174FA1">
              <w:rPr>
                <w:rFonts w:ascii="ＭＳ ゴシック" w:eastAsia="ＭＳ ゴシック" w:hAnsi="ＭＳ ゴシック" w:hint="eastAsia"/>
                <w:color w:val="FF0000"/>
              </w:rPr>
              <w:t>［出荷を担当する部門の名称を記入］</w:t>
            </w:r>
            <w:r w:rsidRPr="00174FA1">
              <w:rPr>
                <w:rFonts w:ascii="ＭＳ ゴシック" w:eastAsia="ＭＳ ゴシック" w:hAnsi="ＭＳ ゴシック" w:hint="eastAsia"/>
              </w:rPr>
              <w:t>は、外為法等の許可が必要な貨物の輸出の場合には、経済産業大臣の許可が取得されていることを確認する。</w:t>
            </w:r>
          </w:p>
          <w:p w14:paraId="3E417C5B" w14:textId="77777777" w:rsidR="00904D50" w:rsidRPr="00174FA1" w:rsidRDefault="00904D50" w:rsidP="00904D50">
            <w:pPr>
              <w:pStyle w:val="a3"/>
              <w:tabs>
                <w:tab w:val="clear" w:pos="4252"/>
                <w:tab w:val="clear" w:pos="8504"/>
              </w:tabs>
              <w:jc w:val="left"/>
              <w:rPr>
                <w:rFonts w:eastAsia="ＭＳ ゴシック"/>
              </w:rPr>
            </w:pPr>
          </w:p>
          <w:p w14:paraId="714C903D" w14:textId="77777777" w:rsidR="00904D50" w:rsidRPr="00174FA1" w:rsidRDefault="00904D50" w:rsidP="00904D50">
            <w:pPr>
              <w:ind w:left="240" w:hangingChars="100" w:hanging="240"/>
              <w:jc w:val="left"/>
              <w:rPr>
                <w:rFonts w:eastAsia="ＭＳ ゴシック"/>
                <w:color w:val="FF0000"/>
              </w:rPr>
            </w:pPr>
            <w:r w:rsidRPr="00174FA1">
              <w:rPr>
                <w:rFonts w:eastAsia="ＭＳ ゴシック" w:hint="eastAsia"/>
              </w:rPr>
              <w:t xml:space="preserve">２　</w:t>
            </w:r>
            <w:r w:rsidRPr="00174FA1">
              <w:rPr>
                <w:rFonts w:eastAsia="ＭＳ ゴシック" w:hint="eastAsia"/>
                <w:color w:val="FF0000"/>
              </w:rPr>
              <w:t>［出荷を担当する部門の名称を記入］</w:t>
            </w:r>
            <w:r w:rsidRPr="00174FA1">
              <w:rPr>
                <w:rFonts w:eastAsia="ＭＳ ゴシック" w:hint="eastAsia"/>
              </w:rPr>
              <w:t>は、出荷時に第１項の確認ができない場合は、直ちに出荷を取り止めて営業部門等へ適切な措置を要求するとともに、輸出管理統括責任者へ報告する。</w:t>
            </w:r>
          </w:p>
          <w:p w14:paraId="2146648E" w14:textId="77777777" w:rsidR="00904D50" w:rsidRPr="00174FA1" w:rsidRDefault="00904D50" w:rsidP="00904D50">
            <w:pPr>
              <w:pStyle w:val="a3"/>
              <w:tabs>
                <w:tab w:val="clear" w:pos="4252"/>
                <w:tab w:val="clear" w:pos="8504"/>
              </w:tabs>
              <w:jc w:val="left"/>
              <w:rPr>
                <w:rFonts w:eastAsia="ＭＳ ゴシック"/>
              </w:rPr>
            </w:pPr>
          </w:p>
          <w:p w14:paraId="29C70215" w14:textId="248C60BF" w:rsidR="00D2340C"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174FA1">
              <w:rPr>
                <w:rFonts w:eastAsia="ＭＳ ゴシック" w:hint="eastAsia"/>
              </w:rPr>
              <w:t xml:space="preserve">３　</w:t>
            </w:r>
            <w:r w:rsidRPr="00174FA1">
              <w:rPr>
                <w:rFonts w:eastAsia="ＭＳ ゴシック" w:hint="eastAsia"/>
                <w:color w:val="FF0000"/>
              </w:rPr>
              <w:t>［出荷を担当する部門の名称を記入］</w:t>
            </w:r>
            <w:r w:rsidRPr="00174FA1">
              <w:rPr>
                <w:rFonts w:eastAsia="ＭＳ ゴシック" w:hint="eastAsia"/>
              </w:rPr>
              <w:t>は、通関時に事故が発生した場合は、直ちに輸出手続を取り止めて輸出管理統括責任者へ報告する。輸出管理統括責任者は、営業部門等と協議して適切な措置を講じる。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1AD52FB2" w14:textId="77777777" w:rsidR="00904D50" w:rsidRPr="005C0169" w:rsidRDefault="00904D50" w:rsidP="00904D50">
            <w:pPr>
              <w:pStyle w:val="a3"/>
              <w:tabs>
                <w:tab w:val="clear" w:pos="4252"/>
                <w:tab w:val="clear" w:pos="8504"/>
              </w:tabs>
              <w:ind w:left="241" w:hangingChars="100" w:hanging="241"/>
              <w:jc w:val="left"/>
              <w:rPr>
                <w:kern w:val="2"/>
                <w:szCs w:val="22"/>
              </w:rPr>
            </w:pPr>
            <w:r w:rsidRPr="005C0169">
              <w:rPr>
                <w:rFonts w:eastAsia="ＭＳ ゴシック" w:hint="eastAsia"/>
                <w:b/>
                <w:kern w:val="2"/>
                <w:szCs w:val="22"/>
              </w:rPr>
              <w:t xml:space="preserve">第１４条　</w:t>
            </w:r>
            <w:r w:rsidRPr="005C0169">
              <w:rPr>
                <w:rFonts w:ascii="ＭＳ ゴシック" w:eastAsia="ＭＳ ゴシック" w:hAnsi="ＭＳ ゴシック" w:hint="eastAsia"/>
                <w:color w:val="FF0000"/>
                <w:kern w:val="2"/>
                <w:szCs w:val="22"/>
              </w:rPr>
              <w:t>［技術を提供する部門の名称を記入］</w:t>
            </w:r>
            <w:r w:rsidRPr="005C0169">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7F937E60" w14:textId="77777777" w:rsidR="00904D50" w:rsidRPr="005C0169" w:rsidRDefault="00904D50" w:rsidP="00904D50">
            <w:pPr>
              <w:pStyle w:val="a3"/>
              <w:tabs>
                <w:tab w:val="clear" w:pos="4252"/>
                <w:tab w:val="clear" w:pos="8504"/>
              </w:tabs>
              <w:jc w:val="left"/>
              <w:rPr>
                <w:rFonts w:eastAsia="ＭＳ ゴシック"/>
                <w:kern w:val="2"/>
                <w:szCs w:val="22"/>
              </w:rPr>
            </w:pPr>
          </w:p>
          <w:p w14:paraId="467B229B" w14:textId="58642A5A" w:rsidR="00D2340C"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5C0169">
              <w:rPr>
                <w:rFonts w:eastAsia="ＭＳ ゴシック" w:hint="eastAsia"/>
                <w:kern w:val="2"/>
                <w:szCs w:val="22"/>
              </w:rPr>
              <w:t xml:space="preserve">２　</w:t>
            </w:r>
            <w:r w:rsidRPr="005C0169">
              <w:rPr>
                <w:rFonts w:eastAsia="ＭＳ ゴシック" w:hint="eastAsia"/>
                <w:color w:val="FF0000"/>
                <w:kern w:val="2"/>
                <w:szCs w:val="22"/>
              </w:rPr>
              <w:t>［技術を提供する部門の名称を記入］</w:t>
            </w:r>
            <w:r w:rsidRPr="005C0169">
              <w:rPr>
                <w:rFonts w:eastAsia="ＭＳ ゴシック" w:hint="eastAsia"/>
                <w:kern w:val="2"/>
                <w:szCs w:val="22"/>
              </w:rPr>
              <w:t>は、第１項の確認ができない場合は当該技術の提供を行ってはならない。また、輸出管理統括責任者へ報告する。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182BC5F7" w:rsidR="00D2340C" w:rsidRPr="004B2D58" w:rsidRDefault="00904D50" w:rsidP="00BD5CE6">
            <w:pPr>
              <w:pStyle w:val="a3"/>
              <w:tabs>
                <w:tab w:val="clear" w:pos="4252"/>
                <w:tab w:val="clear" w:pos="8504"/>
              </w:tabs>
              <w:ind w:left="241" w:hangingChars="100" w:hanging="241"/>
              <w:jc w:val="left"/>
              <w:rPr>
                <w:rFonts w:eastAsia="ＭＳ ゴシック"/>
                <w:kern w:val="2"/>
                <w:szCs w:val="22"/>
              </w:rPr>
            </w:pPr>
            <w:r w:rsidRPr="005C0169">
              <w:rPr>
                <w:rFonts w:ascii="ＭＳ ゴシック" w:eastAsia="ＭＳ ゴシック" w:hAnsi="ＭＳ ゴシック" w:hint="eastAsia"/>
                <w:b/>
                <w:kern w:val="2"/>
                <w:szCs w:val="22"/>
              </w:rPr>
              <w:t xml:space="preserve">第１５条　</w:t>
            </w:r>
            <w:r w:rsidRPr="005C0169">
              <w:rPr>
                <w:rFonts w:ascii="ＭＳ ゴシック" w:eastAsia="ＭＳ ゴシック" w:hAnsi="ＭＳ ゴシック" w:hint="eastAsia"/>
                <w:kern w:val="2"/>
                <w:szCs w:val="22"/>
              </w:rPr>
              <w:t>輸出管理統括責任者は、社内の安全保障輸出管理が本規程に基づき適正に実施されていることを確認するため、監査を定期的に行う。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6D1244A5" w:rsidR="00D2340C" w:rsidRPr="004B2D58" w:rsidRDefault="00904D50" w:rsidP="00BD5CE6">
            <w:pPr>
              <w:pStyle w:val="a3"/>
              <w:tabs>
                <w:tab w:val="clear" w:pos="4252"/>
                <w:tab w:val="clear" w:pos="8504"/>
              </w:tabs>
              <w:ind w:left="241" w:hangingChars="100" w:hanging="241"/>
              <w:jc w:val="left"/>
              <w:rPr>
                <w:rFonts w:eastAsia="ＭＳ ゴシック"/>
                <w:kern w:val="2"/>
                <w:szCs w:val="22"/>
              </w:rPr>
            </w:pPr>
            <w:r w:rsidRPr="00AC0131">
              <w:rPr>
                <w:rFonts w:ascii="ＭＳ ゴシック" w:eastAsia="ＭＳ ゴシック" w:hAnsi="ＭＳ ゴシック" w:hint="eastAsia"/>
                <w:b/>
                <w:kern w:val="2"/>
                <w:szCs w:val="22"/>
              </w:rPr>
              <w:t xml:space="preserve">第１６条　</w:t>
            </w:r>
            <w:r w:rsidRPr="00AC0131">
              <w:rPr>
                <w:rFonts w:ascii="ＭＳ ゴシック" w:eastAsia="ＭＳ ゴシック" w:hAnsi="ＭＳ ゴシック" w:hint="eastAsia"/>
                <w:kern w:val="2"/>
                <w:szCs w:val="22"/>
              </w:rPr>
              <w:t>輸出管理統括責任者及び事業部門輸出管理責任者は、外為法等及び本規程の遵守の重要性を理解させ、確実な実施を図るため、役員及び従業員に対し、計画的に教育を行う。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71A9D560"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9647B8">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B2AF315"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9647B8">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2831CA0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00904D50" w:rsidRPr="00AC0131">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2"/>
              </w:rPr>
              <w:t>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191F6C8C"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 xml:space="preserve">２　</w:t>
            </w:r>
            <w:r w:rsidR="00904D50" w:rsidRPr="00AC0131">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4"/>
              </w:rPr>
              <w:t>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512C0575" w14:textId="77777777" w:rsidR="00904D50" w:rsidRPr="005C0169" w:rsidRDefault="00904D50" w:rsidP="00904D50">
            <w:pPr>
              <w:pStyle w:val="a3"/>
              <w:tabs>
                <w:tab w:val="clear" w:pos="4252"/>
                <w:tab w:val="clear" w:pos="8504"/>
              </w:tabs>
              <w:ind w:left="241" w:hangingChars="100" w:hanging="241"/>
              <w:jc w:val="left"/>
              <w:rPr>
                <w:kern w:val="2"/>
                <w:szCs w:val="22"/>
                <w:shd w:val="clear" w:color="auto" w:fill="FFFFFF"/>
              </w:rPr>
            </w:pPr>
            <w:r w:rsidRPr="005C0169">
              <w:rPr>
                <w:rFonts w:eastAsia="ＭＳ ゴシック" w:hint="eastAsia"/>
                <w:b/>
                <w:kern w:val="2"/>
                <w:szCs w:val="22"/>
                <w:shd w:val="clear" w:color="auto" w:fill="FFFFFF"/>
              </w:rPr>
              <w:t xml:space="preserve">第１９条　</w:t>
            </w:r>
            <w:r w:rsidRPr="005C0169">
              <w:rPr>
                <w:rFonts w:ascii="ＭＳ ゴシック" w:eastAsia="ＭＳ ゴシック" w:hAnsi="ＭＳ ゴシック" w:hint="eastAsia"/>
                <w:kern w:val="2"/>
                <w:szCs w:val="22"/>
                <w:shd w:val="clear" w:color="auto" w:fill="FFFFFF"/>
              </w:rPr>
              <w:t>役員又は従業員は、外為法等又は本規程に対する違反の事実を知った場合又は違反のおそれがある場合には、その旨を輸出管理統括責任者に速やかに報告しなければならない。</w:t>
            </w:r>
          </w:p>
          <w:p w14:paraId="20DA3C69" w14:textId="77777777" w:rsidR="00904D50" w:rsidRPr="005C0169" w:rsidRDefault="00904D50" w:rsidP="00904D50">
            <w:pPr>
              <w:spacing w:line="20" w:lineRule="atLeast"/>
              <w:jc w:val="left"/>
              <w:rPr>
                <w:rFonts w:ascii="ＭＳ ゴシック" w:eastAsia="ＭＳ ゴシック" w:hAnsi="ＭＳ ゴシック"/>
                <w:b/>
                <w:kern w:val="2"/>
                <w:sz w:val="28"/>
                <w:szCs w:val="22"/>
                <w:shd w:val="clear" w:color="auto" w:fill="FFFFFF"/>
              </w:rPr>
            </w:pPr>
          </w:p>
          <w:p w14:paraId="62D48D7F" w14:textId="6F4C58FD" w:rsidR="00F27706"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5C0169">
              <w:rPr>
                <w:rFonts w:ascii="ＭＳ ゴシック" w:eastAsia="ＭＳ ゴシック" w:hAnsi="ＭＳ ゴシック" w:hint="eastAsia"/>
                <w:kern w:val="2"/>
                <w:szCs w:val="22"/>
                <w:shd w:val="clear" w:color="auto" w:fill="FFFFFF"/>
              </w:rPr>
              <w:t>２　輸出管理統括責任者は、第１項の報告の内容を調査し、外為法等に違反したとき、又は違反したおそれのあることが判明したときには、安全保障輸出管理の最高責任者に報</w:t>
            </w:r>
            <w:r w:rsidRPr="005C0169">
              <w:rPr>
                <w:rFonts w:ascii="ＭＳ ゴシック" w:eastAsia="ＭＳ ゴシック" w:hAnsi="ＭＳ ゴシック" w:hint="eastAsia"/>
                <w:kern w:val="2"/>
                <w:szCs w:val="22"/>
                <w:shd w:val="clear" w:color="auto" w:fill="FFFFFF"/>
              </w:rPr>
              <w:lastRenderedPageBreak/>
              <w:t>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31900284"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C43375"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C43375">
        <w:rPr>
          <w:rFonts w:ascii="ＭＳ ゴシック" w:eastAsia="ＭＳ ゴシック" w:hAnsi="ＭＳ ゴシック" w:hint="eastAsia"/>
        </w:rPr>
        <w:t>いう。</w:t>
      </w:r>
      <w:r w:rsidR="00C43375"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C43375">
        <w:rPr>
          <w:rFonts w:ascii="ＭＳ ゴシック" w:eastAsia="ＭＳ ゴシック" w:hAnsi="ＭＳ ゴシック" w:hint="eastAsia"/>
        </w:rPr>
        <w:t>（以下、</w:t>
      </w:r>
      <w:r w:rsidR="00C43375" w:rsidRPr="009C268A">
        <w:rPr>
          <w:rFonts w:ascii="ＭＳ ゴシック" w:eastAsia="ＭＳ ゴシック" w:hAnsi="ＭＳ ゴシック" w:hint="eastAsia"/>
        </w:rPr>
        <w:t>「通常兵器キャッチオール規制特定品目」と</w:t>
      </w:r>
      <w:r w:rsidR="00C43375">
        <w:rPr>
          <w:rFonts w:ascii="ＭＳ ゴシック" w:eastAsia="ＭＳ ゴシック" w:hAnsi="ＭＳ ゴシック" w:hint="eastAsia"/>
        </w:rPr>
        <w:t>いう。）については</w:t>
      </w:r>
      <w:r w:rsidR="00C43375" w:rsidRPr="009C268A">
        <w:rPr>
          <w:rFonts w:ascii="ＭＳ ゴシック" w:eastAsia="ＭＳ ゴシック" w:hAnsi="ＭＳ ゴシック" w:hint="eastAsia"/>
        </w:rPr>
        <w:t>、</w:t>
      </w:r>
      <w:r w:rsidR="00C43375">
        <w:rPr>
          <w:rFonts w:ascii="ＭＳ ゴシック" w:eastAsia="ＭＳ ゴシック" w:hAnsi="ＭＳ ゴシック" w:hint="eastAsia"/>
        </w:rPr>
        <w:t>その</w:t>
      </w:r>
      <w:r w:rsidR="00C43375" w:rsidRPr="009C268A">
        <w:rPr>
          <w:rFonts w:ascii="ＭＳ ゴシック" w:eastAsia="ＭＳ ゴシック" w:hAnsi="ＭＳ ゴシック" w:hint="eastAsia"/>
        </w:rPr>
        <w:t>貨物</w:t>
      </w:r>
      <w:r w:rsidR="00C43375">
        <w:rPr>
          <w:rFonts w:ascii="ＭＳ ゴシック" w:eastAsia="ＭＳ ゴシック" w:hAnsi="ＭＳ ゴシック" w:hint="eastAsia"/>
        </w:rPr>
        <w:t>が</w:t>
      </w:r>
      <w:r w:rsidR="00C43375"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67B35BF7" w14:textId="77777777" w:rsidR="004D1569"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6842DA08"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57450CEF" w14:textId="77777777" w:rsidR="002F21DF" w:rsidRPr="00FE01B3" w:rsidRDefault="002F21DF" w:rsidP="002F21DF">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第６条（輸出管理統括責任者）：</w:t>
      </w:r>
    </w:p>
    <w:p w14:paraId="0F0E1474" w14:textId="77777777" w:rsidR="002F21DF" w:rsidRPr="00FE01B3" w:rsidRDefault="002F21DF" w:rsidP="002F21DF">
      <w:pPr>
        <w:spacing w:line="320" w:lineRule="exact"/>
        <w:jc w:val="left"/>
        <w:rPr>
          <w:rFonts w:ascii="ＭＳ ゴシック" w:eastAsia="ＭＳ ゴシック" w:hAnsi="ＭＳ ゴシック"/>
        </w:rPr>
      </w:pPr>
      <w:r w:rsidRPr="00FE01B3">
        <w:rPr>
          <w:rFonts w:ascii="ＭＳ ゴシック" w:eastAsia="ＭＳ ゴシック" w:hAnsi="ＭＳ ゴシック" w:hint="eastAsia"/>
        </w:rPr>
        <w:t>＜注１＞輸出管理統括責任者は営業部門等に属さない者であることが望ましい。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71403FA2" w14:textId="77777777" w:rsidR="002F21DF" w:rsidRPr="00FE01B3"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第７条（事業部門管理体制）：</w:t>
      </w:r>
    </w:p>
    <w:p w14:paraId="48D61A52" w14:textId="77777777" w:rsidR="002F21DF" w:rsidRPr="00FE01B3"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58BC87FD" w14:textId="77777777" w:rsidR="002F21DF" w:rsidRPr="00FE01B3" w:rsidRDefault="002F21DF" w:rsidP="002F21DF">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＜注２＞</w:t>
      </w:r>
      <w:r w:rsidRPr="00FE01B3">
        <w:rPr>
          <w:rFonts w:ascii="ＭＳ ゴシック" w:eastAsia="ＭＳ ゴシック" w:hAnsi="ＭＳ ゴシック"/>
        </w:rPr>
        <w:t>「</w:t>
      </w:r>
      <w:r w:rsidRPr="00FE01B3">
        <w:rPr>
          <w:rFonts w:ascii="ＭＳ ゴシック" w:eastAsia="ＭＳ ゴシック" w:hAnsi="ＭＳ ゴシック" w:hint="eastAsia"/>
        </w:rPr>
        <w:t>輸出管理統括責任者</w:t>
      </w:r>
      <w:r w:rsidRPr="00FE01B3">
        <w:rPr>
          <w:rFonts w:ascii="ＭＳ ゴシック" w:eastAsia="ＭＳ ゴシック" w:hAnsi="ＭＳ ゴシック"/>
        </w:rPr>
        <w:t>が定める</w:t>
      </w:r>
      <w:r w:rsidRPr="00FE01B3">
        <w:rPr>
          <w:rFonts w:ascii="ＭＳ ゴシック" w:eastAsia="ＭＳ ゴシック" w:hAnsi="ＭＳ ゴシック" w:hint="eastAsia"/>
        </w:rPr>
        <w:t>事業</w:t>
      </w:r>
      <w:r w:rsidRPr="00FE01B3">
        <w:rPr>
          <w:rFonts w:ascii="ＭＳ ゴシック" w:eastAsia="ＭＳ ゴシック" w:hAnsi="ＭＳ ゴシック"/>
        </w:rPr>
        <w:t>部門</w:t>
      </w:r>
      <w:r w:rsidRPr="00FE01B3">
        <w:rPr>
          <w:rFonts w:ascii="ＭＳ ゴシック" w:eastAsia="ＭＳ ゴシック" w:hAnsi="ＭＳ ゴシック" w:hint="eastAsia"/>
        </w:rPr>
        <w:t>」：営業部門等輸出管理に関する業務を行う</w:t>
      </w:r>
      <w:r w:rsidRPr="00FE01B3">
        <w:rPr>
          <w:rFonts w:ascii="ＭＳ ゴシック" w:eastAsia="ＭＳ ゴシック" w:hAnsi="ＭＳ ゴシック"/>
        </w:rPr>
        <w:t>事業部門</w:t>
      </w:r>
      <w:r w:rsidRPr="00FE01B3">
        <w:rPr>
          <w:rFonts w:ascii="ＭＳ ゴシック" w:eastAsia="ＭＳ ゴシック" w:hAnsi="ＭＳ ゴシック" w:hint="eastAsia"/>
        </w:rPr>
        <w:t>を想定。</w:t>
      </w:r>
    </w:p>
    <w:p w14:paraId="1CCC4888" w14:textId="77777777" w:rsidR="00C6103C" w:rsidRPr="002F21DF"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671EF8DD" w14:textId="77777777" w:rsidR="00F9720C" w:rsidRPr="006A489B" w:rsidRDefault="00F9720C" w:rsidP="00F9720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2DA90EB7" w14:textId="77777777" w:rsidR="004D1569" w:rsidRPr="004B2D58" w:rsidRDefault="004D1569" w:rsidP="004D1569">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49A63E7F" w14:textId="77777777" w:rsidR="004D1569" w:rsidRPr="004B2D58" w:rsidRDefault="004D1569" w:rsidP="004D1569">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09B87AF0" w14:textId="77777777" w:rsidR="004D1569" w:rsidRPr="00693108" w:rsidRDefault="004D1569" w:rsidP="004D1569">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w:t>
      </w:r>
      <w:r w:rsidRPr="00693108">
        <w:rPr>
          <w:rFonts w:ascii="ＭＳ ゴシック" w:eastAsia="ＭＳ ゴシック" w:hAnsi="ＭＳ ゴシック" w:hint="eastAsia"/>
        </w:rPr>
        <w:lastRenderedPageBreak/>
        <w:t>要者等がこのリストに掲載されている場合は、「核兵器等の開発等を行う又は行った者」、或いは「通常兵器の開発等を行う又は行った者」との前提に立たなければならない。</w:t>
      </w:r>
    </w:p>
    <w:p w14:paraId="0550F2C7" w14:textId="77777777" w:rsidR="004D1569" w:rsidRPr="00693108" w:rsidRDefault="004D1569" w:rsidP="004D1569">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0D7E6881" w14:textId="77777777" w:rsidR="004D1569" w:rsidRPr="00693108" w:rsidRDefault="004D1569" w:rsidP="004D1569">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457BD6C8" w14:textId="4802B749" w:rsidR="004D1569" w:rsidRPr="00693108" w:rsidRDefault="004D1569" w:rsidP="004D1569">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240258" w:rsidRPr="00240258">
        <w:rPr>
          <w:rFonts w:ascii="ＭＳ ゴシック" w:eastAsia="ＭＳ ゴシック" w:hAnsi="ＭＳ ゴシック" w:hint="eastAsia"/>
        </w:rPr>
        <w:t>第１項第三号：</w:t>
      </w:r>
      <w:r w:rsidR="00F9720C"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F9720C" w:rsidRPr="00693108">
        <w:rPr>
          <w:rFonts w:ascii="ＭＳ ゴシック" w:eastAsia="ＭＳ ゴシック" w:hAnsi="ＭＳ ゴシック" w:hint="eastAsia"/>
        </w:rPr>
        <w:t>特別一般包括許可の取得又は取得予定の場合は、</w:t>
      </w:r>
      <w:bookmarkEnd w:id="1"/>
      <w:r w:rsidR="00F9720C" w:rsidRPr="00693108">
        <w:rPr>
          <w:rFonts w:ascii="ＭＳ ゴシック" w:eastAsia="ＭＳ ゴシック" w:hAnsi="ＭＳ ゴシック" w:hint="eastAsia"/>
        </w:rPr>
        <w:t>軍、軍関係機関等の確認手続について、細則等で定める必要がある。</w:t>
      </w:r>
      <w:r w:rsidR="00F9720C" w:rsidRPr="00693108">
        <w:rPr>
          <w:rFonts w:ascii="ＭＳ ゴシック" w:eastAsia="ＭＳ ゴシック" w:hAnsi="ＭＳ ゴシック"/>
        </w:rPr>
        <w:br/>
      </w:r>
      <w:r w:rsidR="00F9720C" w:rsidRPr="00693108">
        <w:rPr>
          <w:rFonts w:ascii="ＭＳ ゴシック" w:eastAsia="ＭＳ ゴシック" w:hAnsi="ＭＳ ゴシック" w:hint="eastAsia"/>
        </w:rPr>
        <w:t>また、</w:t>
      </w:r>
      <w:bookmarkStart w:id="2" w:name="_Hlk202607567"/>
      <w:r w:rsidR="00F9720C" w:rsidRPr="00693108">
        <w:rPr>
          <w:rFonts w:ascii="ＭＳ ゴシック" w:eastAsia="ＭＳ ゴシック" w:hAnsi="ＭＳ ゴシック" w:hint="eastAsia"/>
        </w:rPr>
        <w:t>「通常兵器キャッチオール規制特定品目」の輸出又は技術提供</w:t>
      </w:r>
      <w:bookmarkEnd w:id="2"/>
      <w:r w:rsidR="00F9720C"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F9720C" w:rsidRPr="00693108">
        <w:rPr>
          <w:rFonts w:ascii="ＭＳ ゴシック" w:eastAsia="ＭＳ ゴシック" w:hAnsi="ＭＳ ゴシック" w:hint="eastAsia"/>
        </w:rPr>
        <w:t>需要者又は技術を利用する者が、包括許可取扱要領に定められた地域</w:t>
      </w:r>
      <w:bookmarkEnd w:id="3"/>
      <w:r w:rsidR="00F9720C" w:rsidRPr="00693108">
        <w:rPr>
          <w:rFonts w:ascii="ＭＳ ゴシック" w:eastAsia="ＭＳ ゴシック" w:hAnsi="ＭＳ ゴシック" w:hint="eastAsia"/>
        </w:rPr>
        <w:t>（一般国の一部）の「軍若しくは軍関係機関若しくはこれらに類する機関又はこれらのものから</w:t>
      </w:r>
      <w:r w:rsidR="00F9720C">
        <w:rPr>
          <w:rFonts w:ascii="ＭＳ ゴシック" w:eastAsia="ＭＳ ゴシック" w:hAnsi="ＭＳ ゴシック" w:hint="eastAsia"/>
        </w:rPr>
        <w:t>（通常兵器の開発等の）</w:t>
      </w:r>
      <w:r w:rsidR="00F9720C" w:rsidRPr="00693108">
        <w:rPr>
          <w:rFonts w:ascii="ＭＳ ゴシック" w:eastAsia="ＭＳ ゴシック" w:hAnsi="ＭＳ ゴシック" w:hint="eastAsia"/>
        </w:rPr>
        <w:t>委託を受けた者」である場合は特別一般包括許可が適用可能である</w:t>
      </w:r>
      <w:bookmarkStart w:id="5" w:name="_Hlk204344908"/>
      <w:r w:rsidR="00F9720C" w:rsidRPr="00693108">
        <w:rPr>
          <w:rFonts w:ascii="ＭＳ ゴシック" w:eastAsia="ＭＳ ゴシック" w:hAnsi="ＭＳ ゴシック" w:hint="eastAsia"/>
        </w:rPr>
        <w:t>（</w:t>
      </w:r>
      <w:r w:rsidR="00F9720C"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F9720C" w:rsidRPr="00693108">
        <w:rPr>
          <w:rFonts w:ascii="ＭＳ ゴシック" w:eastAsia="ＭＳ ゴシック" w:hAnsi="ＭＳ ゴシック" w:hint="eastAsia"/>
        </w:rPr>
        <w:t>）</w:t>
      </w:r>
      <w:bookmarkEnd w:id="5"/>
      <w:r w:rsidR="00F9720C" w:rsidRPr="00693108">
        <w:rPr>
          <w:rFonts w:ascii="ＭＳ ゴシック" w:eastAsia="ＭＳ ゴシック" w:hAnsi="ＭＳ ゴシック" w:hint="eastAsia"/>
        </w:rPr>
        <w:t>。</w:t>
      </w:r>
      <w:bookmarkEnd w:id="4"/>
      <w:r w:rsidR="00F9720C"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3AEBA028" w14:textId="77777777" w:rsidR="004D1569" w:rsidRPr="00693108" w:rsidRDefault="004D1569" w:rsidP="004D1569">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4D1569"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F020D3C" w14:textId="77777777" w:rsidR="00C6103C" w:rsidRPr="00DD19D2" w:rsidRDefault="00C6103C" w:rsidP="00C6103C">
      <w:pPr>
        <w:spacing w:line="320" w:lineRule="exact"/>
        <w:ind w:left="960" w:hanging="960"/>
        <w:jc w:val="left"/>
        <w:rPr>
          <w:rFonts w:ascii="ＭＳ ゴシック" w:eastAsia="ＭＳ ゴシック" w:hAnsi="ＭＳ ゴシック"/>
          <w:shd w:val="clear" w:color="auto" w:fill="DEEAF6"/>
        </w:rPr>
      </w:pPr>
      <w:r w:rsidRPr="00DD19D2">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三</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386B37A4" w14:textId="77777777" w:rsidR="004D1569" w:rsidRPr="00371032" w:rsidRDefault="004D1569" w:rsidP="004D1569">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37103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78AB7D6F" w14:textId="4239373D" w:rsidR="00503391" w:rsidRPr="00DD19D2" w:rsidRDefault="004D1569" w:rsidP="004D1569">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bookmarkStart w:id="6" w:name="_Hlk208317672"/>
      <w:r w:rsidR="00C43375"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ただし、</w:t>
      </w:r>
      <w:bookmarkStart w:id="7" w:name="_Hlk204345871"/>
      <w:r w:rsidR="00C43375"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C43375">
        <w:rPr>
          <w:rFonts w:ascii="ＭＳ ゴシック" w:eastAsia="ＭＳ ゴシック" w:hAnsi="ＭＳ ゴシック" w:hint="eastAsia"/>
        </w:rPr>
        <w:t>（通常兵器の開発等の）</w:t>
      </w:r>
      <w:r w:rsidR="00C43375" w:rsidRPr="00371032">
        <w:rPr>
          <w:rFonts w:ascii="ＭＳ ゴシック" w:eastAsia="ＭＳ ゴシック" w:hAnsi="ＭＳ ゴシック" w:hint="eastAsia"/>
        </w:rPr>
        <w:t>委託を受けた者」である場合</w:t>
      </w:r>
      <w:bookmarkStart w:id="8" w:name="_Hlk204343534"/>
      <w:r w:rsidR="00C43375"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8"/>
      <w:r w:rsidR="00C43375" w:rsidRPr="00371032">
        <w:rPr>
          <w:rFonts w:ascii="ＭＳ ゴシック" w:eastAsia="ＭＳ ゴシック" w:hAnsi="ＭＳ ゴシック" w:hint="eastAsia"/>
        </w:rPr>
        <w:t>特別一般包括許可が適用可能である。</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なお、(a)</w:t>
      </w:r>
      <w:r w:rsidR="00C43375">
        <w:rPr>
          <w:rFonts w:ascii="ＭＳ ゴシック" w:eastAsia="ＭＳ ゴシック" w:hAnsi="ＭＳ ゴシック" w:hint="eastAsia"/>
        </w:rPr>
        <w:t>、(b)</w:t>
      </w:r>
      <w:r w:rsidR="00C43375" w:rsidRPr="00371032">
        <w:rPr>
          <w:rFonts w:ascii="ＭＳ ゴシック" w:eastAsia="ＭＳ ゴシック" w:hAnsi="ＭＳ ゴシック" w:hint="eastAsia"/>
        </w:rPr>
        <w:t>の場合でも、</w:t>
      </w:r>
      <w:r w:rsidR="00C4337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C43375" w:rsidRPr="00371032">
        <w:rPr>
          <w:rFonts w:ascii="ＭＳ ゴシック" w:eastAsia="ＭＳ ゴシック" w:hAnsi="ＭＳ ゴシック" w:hint="eastAsia"/>
        </w:rPr>
        <w:t>には、特別一般包括許可が適用できない。</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7"/>
    </w:p>
    <w:bookmarkEnd w:id="6"/>
    <w:p w14:paraId="4B5C7B1E" w14:textId="0902B0E2"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６</w:t>
      </w:r>
      <w:r w:rsidRPr="00DD19D2">
        <w:rPr>
          <w:rFonts w:ascii="ＭＳ ゴシック" w:eastAsia="ＭＳ ゴシック" w:hAnsi="ＭＳ ゴシック" w:hint="eastAsia"/>
        </w:rPr>
        <w:t>＞第１項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五</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5784B9E4"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７</w:t>
      </w:r>
      <w:r w:rsidRPr="00DD19D2">
        <w:rPr>
          <w:rFonts w:ascii="ＭＳ ゴシック" w:eastAsia="ＭＳ ゴシック" w:hAnsi="ＭＳ ゴシック" w:hint="eastAsia"/>
        </w:rPr>
        <w:t>＞企業の管理上、「</w:t>
      </w:r>
      <w:r w:rsidR="003315FF" w:rsidRPr="003315FF">
        <w:rPr>
          <w:rFonts w:ascii="ＭＳ ゴシック" w:eastAsia="ＭＳ ゴシック" w:hAnsi="ＭＳ ゴシック" w:hint="eastAsia"/>
        </w:rPr>
        <w:t>輸出管理統括責任者</w:t>
      </w:r>
      <w:r w:rsidRPr="00DD19D2">
        <w:rPr>
          <w:rFonts w:ascii="ＭＳ ゴシック" w:eastAsia="ＭＳ ゴシック" w:hAnsi="ＭＳ ゴシック" w:hint="eastAsia"/>
        </w:rPr>
        <w:t>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８</w:t>
      </w:r>
      <w:r w:rsidRPr="00DD19D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DD19D2" w:rsidRDefault="00C6103C" w:rsidP="00C6103C">
      <w:pPr>
        <w:spacing w:line="320" w:lineRule="exac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９</w:t>
      </w:r>
      <w:r w:rsidRPr="00DD19D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67E223C4" w14:textId="77777777" w:rsidR="002F21DF" w:rsidRPr="00FE01B3" w:rsidRDefault="002F21DF" w:rsidP="002F21DF">
      <w:pPr>
        <w:pStyle w:val="a3"/>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第１５条（監査）：</w:t>
      </w:r>
    </w:p>
    <w:p w14:paraId="698305EB" w14:textId="1E1B681D" w:rsidR="002F21DF" w:rsidRPr="009E5890"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FE01B3">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w:t>
      </w:r>
      <w:r w:rsidR="00A100CB" w:rsidRPr="00A100CB">
        <w:rPr>
          <w:rFonts w:ascii="ＭＳ ゴシック" w:eastAsia="ＭＳ ゴシック" w:hAnsi="ＭＳ ゴシック" w:hint="eastAsia"/>
        </w:rPr>
        <w:t>輸出管理統括責任者等</w:t>
      </w:r>
      <w:r w:rsidRPr="00FE01B3">
        <w:rPr>
          <w:rFonts w:ascii="ＭＳ ゴシック" w:eastAsia="ＭＳ ゴシック" w:hAnsi="ＭＳ ゴシック" w:hint="eastAsia"/>
        </w:rPr>
        <w:t>の協力を得ることができる。」等、監査を行う側の協力関係を本規程に規定することが考えられる。</w:t>
      </w:r>
      <w:r w:rsidRPr="00CE05BC">
        <w:rPr>
          <w:rFonts w:ascii="ＭＳ ゴシック" w:eastAsia="ＭＳ ゴシック" w:hAnsi="ＭＳ ゴシック" w:hint="eastAsia"/>
        </w:rPr>
        <w:t>監査対象には、輸出管理統括責任者も含まれる。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971D8E8"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9647B8">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13CD9C35" w:rsidR="00C6103C" w:rsidRPr="004B2D58" w:rsidRDefault="00C6103C" w:rsidP="00C6103C">
      <w:pPr>
        <w:pStyle w:val="a9"/>
        <w:ind w:left="960" w:hangingChars="400" w:hanging="960"/>
      </w:pPr>
      <w:r w:rsidRPr="004B2D58">
        <w:rPr>
          <w:rFonts w:hint="eastAsia"/>
        </w:rPr>
        <w:t>＜注１＞</w:t>
      </w:r>
      <w:r w:rsidR="004D1569" w:rsidRPr="004D1569">
        <w:rPr>
          <w:rFonts w:hint="eastAsia"/>
        </w:rPr>
        <w:t>文書又は記録媒体を起算日から、少なくとも７年間</w:t>
      </w:r>
      <w:r w:rsidR="009647B8">
        <w:rPr>
          <w:rFonts w:hint="eastAsia"/>
        </w:rPr>
        <w:t>保存</w:t>
      </w:r>
      <w:r w:rsidR="004D1569" w:rsidRPr="004D1569">
        <w:rPr>
          <w:rFonts w:hint="eastAsia"/>
        </w:rPr>
        <w:t>と規定しているのは、核兵器等関連貨物、技術の無許可輸出及び無許可取引の罰則が、外為法第６９条の６第２項により、１０年以下の拘禁刑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9647B8">
        <w:rPr>
          <w:rFonts w:hint="eastAsia"/>
        </w:rPr>
        <w:t>保存</w:t>
      </w:r>
      <w:r w:rsidR="004D1569" w:rsidRPr="004D1569">
        <w:rPr>
          <w:rFonts w:hint="eastAsia"/>
        </w:rPr>
        <w:t>することが求められている。（包括許可取扱要領（別表３）許可条件の適用（７）、（別表４）許可条件の適用（４））なお、核兵器等関連貨物、技術を取り扱わず、返送のために特別一般包括許可を使用しない企業は、少なくとも５年間</w:t>
      </w:r>
      <w:r w:rsidR="009647B8">
        <w:rPr>
          <w:rFonts w:hint="eastAsia"/>
        </w:rPr>
        <w:t>保存</w:t>
      </w:r>
      <w:r w:rsidR="004D1569" w:rsidRPr="004D1569">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258"/>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1DF"/>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5F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569"/>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1F"/>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71A"/>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411"/>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D50"/>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355"/>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7B8"/>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0CB"/>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4FF7"/>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375"/>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689"/>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3B6"/>
    <w:rsid w:val="00F957D0"/>
    <w:rsid w:val="00F9618C"/>
    <w:rsid w:val="00F96522"/>
    <w:rsid w:val="00F969EB"/>
    <w:rsid w:val="00F9720C"/>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11935</Words>
  <Characters>467</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8</cp:revision>
  <cp:lastPrinted>2022-03-01T00:08:00Z</cp:lastPrinted>
  <dcterms:created xsi:type="dcterms:W3CDTF">2025-09-09T07:39:00Z</dcterms:created>
  <dcterms:modified xsi:type="dcterms:W3CDTF">2026-03-23T07:45:00Z</dcterms:modified>
</cp:coreProperties>
</file>